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A1F0F" w14:textId="77777777" w:rsidR="007E388D" w:rsidRDefault="007E388D" w:rsidP="007E388D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fr-FR"/>
          <w14:ligatures w14:val="none"/>
        </w:rPr>
      </w:pPr>
      <w:r w:rsidRPr="007E388D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fr-FR"/>
          <w14:ligatures w14:val="none"/>
        </w:rPr>
        <w:t xml:space="preserve">14 mars 2024 : </w:t>
      </w:r>
    </w:p>
    <w:p w14:paraId="70A9F083" w14:textId="68E2761D" w:rsidR="007E388D" w:rsidRPr="007E388D" w:rsidRDefault="007E388D" w:rsidP="007E388D">
      <w:pPr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sz w:val="28"/>
          <w:szCs w:val="28"/>
          <w:lang w:eastAsia="fr-FR"/>
          <w14:ligatures w14:val="none"/>
        </w:rPr>
      </w:pPr>
      <w:r w:rsidRPr="007E388D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fr-FR"/>
          <w14:ligatures w14:val="none"/>
        </w:rPr>
        <w:t>"Les Lumières juives (</w:t>
      </w:r>
      <w:r w:rsidRPr="007E388D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8"/>
          <w:szCs w:val="28"/>
          <w:lang w:eastAsia="fr-FR"/>
          <w14:ligatures w14:val="none"/>
        </w:rPr>
        <w:t>Haskala</w:t>
      </w:r>
      <w:r w:rsidRPr="007E388D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fr-FR"/>
          <w14:ligatures w14:val="none"/>
        </w:rPr>
        <w:t>) ou comment les juifs sont entrés dans la modernité"</w:t>
      </w:r>
    </w:p>
    <w:p w14:paraId="427CB877" w14:textId="77777777" w:rsidR="007E388D" w:rsidRPr="007E388D" w:rsidRDefault="007E388D" w:rsidP="007E388D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fr-FR"/>
          <w14:ligatures w14:val="none"/>
        </w:rPr>
      </w:pPr>
    </w:p>
    <w:p w14:paraId="45BD9634" w14:textId="55F2604B" w:rsidR="007E388D" w:rsidRPr="007E388D" w:rsidRDefault="007E388D" w:rsidP="007E388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7E388D">
        <w:rPr>
          <w:rFonts w:ascii="Calibri" w:eastAsia="Times New Roman" w:hAnsi="Calibri" w:cs="Calibri"/>
          <w:b/>
          <w:bCs/>
          <w:color w:val="000000"/>
          <w:kern w:val="0"/>
          <w:lang w:eastAsia="fr-FR"/>
          <w14:ligatures w14:val="none"/>
        </w:rPr>
        <w:t>Résumé :</w:t>
      </w:r>
      <w:r w:rsidRPr="007E388D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 xml:space="preserve"> Le terme hébreu </w:t>
      </w:r>
      <w:r w:rsidRPr="007E388D">
        <w:rPr>
          <w:rFonts w:ascii="Calibri" w:eastAsia="Times New Roman" w:hAnsi="Calibri" w:cs="Calibri"/>
          <w:i/>
          <w:iCs/>
          <w:color w:val="000000"/>
          <w:kern w:val="0"/>
          <w:lang w:eastAsia="fr-FR"/>
          <w14:ligatures w14:val="none"/>
        </w:rPr>
        <w:t>Haskala</w:t>
      </w:r>
      <w:r w:rsidRPr="007E388D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>, qui signifie "instruction, culture, enseignement" et qui est apparenté à </w:t>
      </w:r>
      <w:proofErr w:type="spellStart"/>
      <w:r w:rsidRPr="007E388D">
        <w:rPr>
          <w:rFonts w:ascii="Calibri" w:eastAsia="Times New Roman" w:hAnsi="Calibri" w:cs="Calibri"/>
          <w:i/>
          <w:iCs/>
          <w:color w:val="000000"/>
          <w:kern w:val="0"/>
          <w:lang w:eastAsia="fr-FR"/>
          <w14:ligatures w14:val="none"/>
        </w:rPr>
        <w:t>sekhel</w:t>
      </w:r>
      <w:proofErr w:type="spellEnd"/>
      <w:r w:rsidRPr="007E388D">
        <w:rPr>
          <w:rFonts w:ascii="Calibri" w:eastAsia="Times New Roman" w:hAnsi="Calibri" w:cs="Calibri"/>
          <w:i/>
          <w:iCs/>
          <w:color w:val="000000"/>
          <w:kern w:val="0"/>
          <w:lang w:eastAsia="fr-FR"/>
          <w14:ligatures w14:val="none"/>
        </w:rPr>
        <w:t> </w:t>
      </w:r>
      <w:r w:rsidRPr="007E388D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>("intelligence, raison"), désigne le mouvement juif des Lumières. Même si ce mouvement marque l'entrée des juifs dans la modernité, il reste difficile à définir, comme le sont d'ailleurs les Lumières elles-mêmes. Il suscite encore aujourd'hui de nombreuses questions</w:t>
      </w:r>
      <w:r w:rsidR="003E0053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 xml:space="preserve"> </w:t>
      </w:r>
      <w:r w:rsidRPr="007E388D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>: quelles sont ses origines et la nature de ses liens avec les Lumières non-juives ? A-t-on affaire à une révolution au sein du monde juif traditionnel ? Quelle est la période exacte pendant laquelle la </w:t>
      </w:r>
      <w:r w:rsidRPr="007E388D">
        <w:rPr>
          <w:rFonts w:ascii="Calibri" w:eastAsia="Times New Roman" w:hAnsi="Calibri" w:cs="Calibri"/>
          <w:i/>
          <w:iCs/>
          <w:color w:val="000000"/>
          <w:kern w:val="0"/>
          <w:lang w:eastAsia="fr-FR"/>
          <w14:ligatures w14:val="none"/>
        </w:rPr>
        <w:t>Haskala</w:t>
      </w:r>
      <w:r w:rsidRPr="007E388D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> a été active ? Quels ont été ses effets à court et à plus long terme ? Nous tenterons dans cette conférence d'apporter quelques éclairages sur ces questions générales, sans négliger le rôle majeur de certaines figures de </w:t>
      </w:r>
      <w:proofErr w:type="spellStart"/>
      <w:r w:rsidRPr="007E388D">
        <w:rPr>
          <w:rFonts w:ascii="Calibri" w:eastAsia="Times New Roman" w:hAnsi="Calibri" w:cs="Calibri"/>
          <w:i/>
          <w:iCs/>
          <w:color w:val="000000"/>
          <w:kern w:val="0"/>
          <w:lang w:eastAsia="fr-FR"/>
          <w14:ligatures w14:val="none"/>
        </w:rPr>
        <w:t>maskilim</w:t>
      </w:r>
      <w:proofErr w:type="spellEnd"/>
      <w:r w:rsidRPr="007E388D">
        <w:rPr>
          <w:rFonts w:ascii="Calibri" w:eastAsia="Times New Roman" w:hAnsi="Calibri" w:cs="Calibri"/>
          <w:i/>
          <w:iCs/>
          <w:color w:val="000000"/>
          <w:kern w:val="0"/>
          <w:lang w:eastAsia="fr-FR"/>
          <w14:ligatures w14:val="none"/>
        </w:rPr>
        <w:t> </w:t>
      </w:r>
      <w:r w:rsidRPr="007E388D">
        <w:rPr>
          <w:rFonts w:ascii="Calibri" w:eastAsia="Times New Roman" w:hAnsi="Calibri" w:cs="Calibri"/>
          <w:color w:val="000000"/>
          <w:kern w:val="0"/>
          <w:shd w:val="clear" w:color="auto" w:fill="FFFFFF"/>
          <w:lang w:eastAsia="fr-FR"/>
          <w14:ligatures w14:val="none"/>
        </w:rPr>
        <w:t>(</w:t>
      </w:r>
      <w:r w:rsidRPr="007E388D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>adeptes de la </w:t>
      </w:r>
      <w:r w:rsidRPr="007E388D">
        <w:rPr>
          <w:rFonts w:ascii="Calibri" w:eastAsia="Times New Roman" w:hAnsi="Calibri" w:cs="Calibri"/>
          <w:i/>
          <w:iCs/>
          <w:color w:val="000000"/>
          <w:kern w:val="0"/>
          <w:lang w:eastAsia="fr-FR"/>
          <w14:ligatures w14:val="none"/>
        </w:rPr>
        <w:t>Haskala</w:t>
      </w:r>
      <w:r w:rsidRPr="007E388D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 xml:space="preserve">), comme Mendelssohn (1729-1786) en Allemagne, </w:t>
      </w:r>
      <w:proofErr w:type="spellStart"/>
      <w:r w:rsidRPr="007E388D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>Krochmal</w:t>
      </w:r>
      <w:proofErr w:type="spellEnd"/>
      <w:r w:rsidRPr="007E388D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> </w:t>
      </w:r>
      <w:r w:rsidRPr="007E388D">
        <w:rPr>
          <w:rFonts w:ascii="Calibri" w:eastAsia="Times New Roman" w:hAnsi="Calibri" w:cs="Calibri"/>
          <w:color w:val="000000"/>
          <w:kern w:val="0"/>
          <w:shd w:val="clear" w:color="auto" w:fill="FFFFFF"/>
          <w:lang w:eastAsia="fr-FR"/>
          <w14:ligatures w14:val="none"/>
        </w:rPr>
        <w:t>(1785-1840)</w:t>
      </w:r>
      <w:r w:rsidRPr="007E388D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> en Galicie et Gordon (1831-1892) en Russie. </w:t>
      </w:r>
    </w:p>
    <w:p w14:paraId="15383517" w14:textId="77777777" w:rsidR="007E388D" w:rsidRPr="007E388D" w:rsidRDefault="007E388D" w:rsidP="007E388D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fr-FR"/>
          <w14:ligatures w14:val="none"/>
        </w:rPr>
      </w:pPr>
    </w:p>
    <w:p w14:paraId="285971EC" w14:textId="66AB5AD1" w:rsidR="007E388D" w:rsidRPr="007E388D" w:rsidRDefault="007E388D" w:rsidP="007E388D">
      <w:pPr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lang w:eastAsia="fr-FR"/>
          <w14:ligatures w14:val="none"/>
        </w:rPr>
      </w:pPr>
      <w:r w:rsidRPr="007E388D">
        <w:rPr>
          <w:rFonts w:ascii="Calibri" w:eastAsia="Times New Roman" w:hAnsi="Calibri" w:cs="Calibri"/>
          <w:b/>
          <w:bCs/>
          <w:color w:val="000000"/>
          <w:kern w:val="0"/>
          <w:lang w:eastAsia="fr-FR"/>
          <w14:ligatures w14:val="none"/>
        </w:rPr>
        <w:t>Plan : </w:t>
      </w:r>
    </w:p>
    <w:p w14:paraId="0A7437EA" w14:textId="77777777" w:rsidR="007E388D" w:rsidRPr="007E388D" w:rsidRDefault="007E388D" w:rsidP="007E388D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fr-FR"/>
          <w14:ligatures w14:val="none"/>
        </w:rPr>
      </w:pPr>
    </w:p>
    <w:p w14:paraId="1DF003C6" w14:textId="50173165" w:rsidR="007E388D" w:rsidRPr="007E388D" w:rsidRDefault="007E388D" w:rsidP="007E388D">
      <w:pPr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lang w:eastAsia="fr-FR"/>
          <w14:ligatures w14:val="none"/>
        </w:rPr>
      </w:pPr>
      <w:r w:rsidRPr="007E388D">
        <w:rPr>
          <w:rFonts w:ascii="Calibri" w:eastAsia="Times New Roman" w:hAnsi="Calibri" w:cs="Calibri"/>
          <w:b/>
          <w:bCs/>
          <w:color w:val="000000"/>
          <w:kern w:val="0"/>
          <w:lang w:eastAsia="fr-FR"/>
          <w14:ligatures w14:val="none"/>
        </w:rPr>
        <w:t>Introduction : Qu'est-ce que la </w:t>
      </w:r>
      <w:r w:rsidRPr="007E388D">
        <w:rPr>
          <w:rFonts w:ascii="Calibri" w:eastAsia="Times New Roman" w:hAnsi="Calibri" w:cs="Calibri"/>
          <w:b/>
          <w:bCs/>
          <w:i/>
          <w:iCs/>
          <w:color w:val="000000"/>
          <w:kern w:val="0"/>
          <w:lang w:eastAsia="fr-FR"/>
          <w14:ligatures w14:val="none"/>
        </w:rPr>
        <w:t>Haskala</w:t>
      </w:r>
      <w:r w:rsidRPr="007E388D">
        <w:rPr>
          <w:rFonts w:ascii="Calibri" w:eastAsia="Times New Roman" w:hAnsi="Calibri" w:cs="Calibri"/>
          <w:b/>
          <w:bCs/>
          <w:color w:val="000000"/>
          <w:kern w:val="0"/>
          <w:lang w:eastAsia="fr-FR"/>
          <w14:ligatures w14:val="none"/>
        </w:rPr>
        <w:t> ? </w:t>
      </w:r>
    </w:p>
    <w:p w14:paraId="1BCD7835" w14:textId="77777777" w:rsidR="007E388D" w:rsidRPr="007E388D" w:rsidRDefault="007E388D" w:rsidP="007E388D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fr-FR"/>
          <w14:ligatures w14:val="none"/>
        </w:rPr>
      </w:pPr>
    </w:p>
    <w:p w14:paraId="10C339E9" w14:textId="7F80012C" w:rsidR="007E388D" w:rsidRPr="007E388D" w:rsidRDefault="007E388D" w:rsidP="007E388D">
      <w:pPr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lang w:eastAsia="fr-FR"/>
          <w14:ligatures w14:val="none"/>
        </w:rPr>
      </w:pPr>
      <w:r w:rsidRPr="007E388D">
        <w:rPr>
          <w:rFonts w:ascii="Calibri" w:eastAsia="Times New Roman" w:hAnsi="Calibri" w:cs="Calibri"/>
          <w:b/>
          <w:bCs/>
          <w:color w:val="000000"/>
          <w:kern w:val="0"/>
          <w:lang w:eastAsia="fr-FR"/>
          <w14:ligatures w14:val="none"/>
        </w:rPr>
        <w:t>I. Les Lumières </w:t>
      </w:r>
    </w:p>
    <w:p w14:paraId="2C915080" w14:textId="77777777" w:rsidR="007E388D" w:rsidRPr="007E388D" w:rsidRDefault="007E388D" w:rsidP="007E388D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fr-FR"/>
          <w14:ligatures w14:val="none"/>
        </w:rPr>
      </w:pPr>
      <w:r w:rsidRPr="007E388D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>1. Les Lumières médiévales</w:t>
      </w:r>
    </w:p>
    <w:p w14:paraId="5DCA0275" w14:textId="77777777" w:rsidR="007E388D" w:rsidRPr="007E388D" w:rsidRDefault="007E388D" w:rsidP="007E388D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fr-FR"/>
          <w14:ligatures w14:val="none"/>
        </w:rPr>
      </w:pPr>
      <w:r w:rsidRPr="007E388D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>2. Les Lumières modernes</w:t>
      </w:r>
    </w:p>
    <w:p w14:paraId="29CD390B" w14:textId="77777777" w:rsidR="007E388D" w:rsidRPr="007E388D" w:rsidRDefault="007E388D" w:rsidP="007E388D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fr-FR"/>
          <w14:ligatures w14:val="none"/>
        </w:rPr>
      </w:pPr>
      <w:r w:rsidRPr="007E388D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>3. Les Lumières juives</w:t>
      </w:r>
    </w:p>
    <w:p w14:paraId="41121C1C" w14:textId="77777777" w:rsidR="007E388D" w:rsidRPr="007E388D" w:rsidRDefault="007E388D" w:rsidP="007E388D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fr-FR"/>
          <w14:ligatures w14:val="none"/>
        </w:rPr>
      </w:pPr>
    </w:p>
    <w:p w14:paraId="510786FA" w14:textId="6CB9E0CE" w:rsidR="007E388D" w:rsidRPr="007E388D" w:rsidRDefault="007E388D" w:rsidP="007E388D">
      <w:pPr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lang w:eastAsia="fr-FR"/>
          <w14:ligatures w14:val="none"/>
        </w:rPr>
      </w:pPr>
      <w:r w:rsidRPr="007E388D">
        <w:rPr>
          <w:rFonts w:ascii="Calibri" w:eastAsia="Times New Roman" w:hAnsi="Calibri" w:cs="Calibri"/>
          <w:b/>
          <w:bCs/>
          <w:color w:val="000000"/>
          <w:kern w:val="0"/>
          <w:lang w:eastAsia="fr-FR"/>
          <w14:ligatures w14:val="none"/>
        </w:rPr>
        <w:t>II. Trois grandes figures de la </w:t>
      </w:r>
      <w:r w:rsidRPr="007E388D">
        <w:rPr>
          <w:rFonts w:ascii="Calibri" w:eastAsia="Times New Roman" w:hAnsi="Calibri" w:cs="Calibri"/>
          <w:b/>
          <w:bCs/>
          <w:i/>
          <w:iCs/>
          <w:color w:val="000000"/>
          <w:kern w:val="0"/>
          <w:lang w:eastAsia="fr-FR"/>
          <w14:ligatures w14:val="none"/>
        </w:rPr>
        <w:t>Haskala</w:t>
      </w:r>
    </w:p>
    <w:p w14:paraId="28D210F2" w14:textId="77777777" w:rsidR="007E388D" w:rsidRPr="007E388D" w:rsidRDefault="007E388D" w:rsidP="007E388D">
      <w:pPr>
        <w:spacing w:after="0" w:line="240" w:lineRule="auto"/>
        <w:jc w:val="both"/>
        <w:rPr>
          <w:rFonts w:ascii="Calibri" w:eastAsia="Times New Roman" w:hAnsi="Calibri" w:cs="Calibri"/>
          <w:kern w:val="0"/>
          <w:lang w:val="en-GB" w:eastAsia="fr-FR"/>
          <w14:ligatures w14:val="none"/>
        </w:rPr>
      </w:pPr>
      <w:r w:rsidRPr="007E388D">
        <w:rPr>
          <w:rFonts w:ascii="Calibri" w:eastAsia="Times New Roman" w:hAnsi="Calibri" w:cs="Calibri"/>
          <w:color w:val="000000"/>
          <w:kern w:val="0"/>
          <w:lang w:val="en-GB" w:eastAsia="fr-FR"/>
          <w14:ligatures w14:val="none"/>
        </w:rPr>
        <w:t>1. Moses Mendelssohn</w:t>
      </w:r>
    </w:p>
    <w:p w14:paraId="1DE0CB83" w14:textId="77777777" w:rsidR="007E388D" w:rsidRPr="007E388D" w:rsidRDefault="007E388D" w:rsidP="007E388D">
      <w:pPr>
        <w:spacing w:after="0" w:line="240" w:lineRule="auto"/>
        <w:jc w:val="both"/>
        <w:rPr>
          <w:rFonts w:ascii="Calibri" w:eastAsia="Times New Roman" w:hAnsi="Calibri" w:cs="Calibri"/>
          <w:kern w:val="0"/>
          <w:lang w:val="en-GB" w:eastAsia="fr-FR"/>
          <w14:ligatures w14:val="none"/>
        </w:rPr>
      </w:pPr>
      <w:r w:rsidRPr="007E388D">
        <w:rPr>
          <w:rFonts w:ascii="Calibri" w:eastAsia="Times New Roman" w:hAnsi="Calibri" w:cs="Calibri"/>
          <w:color w:val="000000"/>
          <w:kern w:val="0"/>
          <w:lang w:val="en-GB" w:eastAsia="fr-FR"/>
          <w14:ligatures w14:val="none"/>
        </w:rPr>
        <w:t>2. Nachman Krochmal</w:t>
      </w:r>
    </w:p>
    <w:p w14:paraId="53EC31E3" w14:textId="77777777" w:rsidR="007E388D" w:rsidRPr="007E388D" w:rsidRDefault="007E388D" w:rsidP="007E388D">
      <w:pPr>
        <w:spacing w:after="0" w:line="240" w:lineRule="auto"/>
        <w:jc w:val="both"/>
        <w:rPr>
          <w:rFonts w:ascii="Calibri" w:eastAsia="Times New Roman" w:hAnsi="Calibri" w:cs="Calibri"/>
          <w:kern w:val="0"/>
          <w:lang w:val="en-GB" w:eastAsia="fr-FR"/>
          <w14:ligatures w14:val="none"/>
        </w:rPr>
      </w:pPr>
      <w:r w:rsidRPr="007E388D">
        <w:rPr>
          <w:rFonts w:ascii="Calibri" w:eastAsia="Times New Roman" w:hAnsi="Calibri" w:cs="Calibri"/>
          <w:color w:val="000000"/>
          <w:kern w:val="0"/>
          <w:lang w:val="en-GB" w:eastAsia="fr-FR"/>
          <w14:ligatures w14:val="none"/>
        </w:rPr>
        <w:t>3. Yehudah Leib Gordon</w:t>
      </w:r>
    </w:p>
    <w:p w14:paraId="2742AE61" w14:textId="77777777" w:rsidR="007E388D" w:rsidRPr="007E388D" w:rsidRDefault="007E388D" w:rsidP="007E388D">
      <w:pPr>
        <w:spacing w:after="0" w:line="240" w:lineRule="auto"/>
        <w:jc w:val="both"/>
        <w:rPr>
          <w:rFonts w:ascii="Calibri" w:eastAsia="Times New Roman" w:hAnsi="Calibri" w:cs="Calibri"/>
          <w:kern w:val="0"/>
          <w:lang w:val="en-GB" w:eastAsia="fr-FR"/>
          <w14:ligatures w14:val="none"/>
        </w:rPr>
      </w:pPr>
    </w:p>
    <w:p w14:paraId="601E98A2" w14:textId="31F2275D" w:rsidR="007E388D" w:rsidRPr="007E388D" w:rsidRDefault="007E388D" w:rsidP="007E388D">
      <w:pPr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lang w:eastAsia="fr-FR"/>
          <w14:ligatures w14:val="none"/>
        </w:rPr>
      </w:pPr>
      <w:r w:rsidRPr="007E388D">
        <w:rPr>
          <w:rFonts w:ascii="Calibri" w:eastAsia="Times New Roman" w:hAnsi="Calibri" w:cs="Calibri"/>
          <w:b/>
          <w:bCs/>
          <w:color w:val="000000"/>
          <w:kern w:val="0"/>
          <w:lang w:eastAsia="fr-FR"/>
          <w14:ligatures w14:val="none"/>
        </w:rPr>
        <w:t>III. Les suites de la </w:t>
      </w:r>
      <w:r w:rsidRPr="007E388D">
        <w:rPr>
          <w:rFonts w:ascii="Calibri" w:eastAsia="Times New Roman" w:hAnsi="Calibri" w:cs="Calibri"/>
          <w:b/>
          <w:bCs/>
          <w:i/>
          <w:iCs/>
          <w:color w:val="000000"/>
          <w:kern w:val="0"/>
          <w:lang w:eastAsia="fr-FR"/>
          <w14:ligatures w14:val="none"/>
        </w:rPr>
        <w:t>Haskala</w:t>
      </w:r>
    </w:p>
    <w:p w14:paraId="10D25C71" w14:textId="77777777" w:rsidR="007E388D" w:rsidRPr="007E388D" w:rsidRDefault="007E388D" w:rsidP="007E388D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fr-FR"/>
          <w14:ligatures w14:val="none"/>
        </w:rPr>
      </w:pPr>
      <w:r w:rsidRPr="007E388D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>1. L'émancipation des juifs</w:t>
      </w:r>
    </w:p>
    <w:p w14:paraId="71310981" w14:textId="77777777" w:rsidR="007E388D" w:rsidRPr="007E388D" w:rsidRDefault="007E388D" w:rsidP="007E388D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fr-FR"/>
          <w14:ligatures w14:val="none"/>
        </w:rPr>
      </w:pPr>
      <w:r w:rsidRPr="007E388D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>2. La </w:t>
      </w:r>
      <w:proofErr w:type="spellStart"/>
      <w:r w:rsidRPr="007E388D">
        <w:rPr>
          <w:rFonts w:ascii="Calibri" w:eastAsia="Times New Roman" w:hAnsi="Calibri" w:cs="Calibri"/>
          <w:i/>
          <w:iCs/>
          <w:color w:val="000000"/>
          <w:kern w:val="0"/>
          <w:lang w:eastAsia="fr-FR"/>
          <w14:ligatures w14:val="none"/>
        </w:rPr>
        <w:t>Wissenschaft</w:t>
      </w:r>
      <w:proofErr w:type="spellEnd"/>
      <w:r w:rsidRPr="007E388D">
        <w:rPr>
          <w:rFonts w:ascii="Calibri" w:eastAsia="Times New Roman" w:hAnsi="Calibri" w:cs="Calibri"/>
          <w:i/>
          <w:iCs/>
          <w:color w:val="000000"/>
          <w:kern w:val="0"/>
          <w:lang w:eastAsia="fr-FR"/>
          <w14:ligatures w14:val="none"/>
        </w:rPr>
        <w:t xml:space="preserve"> des </w:t>
      </w:r>
      <w:proofErr w:type="spellStart"/>
      <w:r w:rsidRPr="007E388D">
        <w:rPr>
          <w:rFonts w:ascii="Calibri" w:eastAsia="Times New Roman" w:hAnsi="Calibri" w:cs="Calibri"/>
          <w:i/>
          <w:iCs/>
          <w:color w:val="000000"/>
          <w:kern w:val="0"/>
          <w:lang w:eastAsia="fr-FR"/>
          <w14:ligatures w14:val="none"/>
        </w:rPr>
        <w:t>Judentums</w:t>
      </w:r>
      <w:proofErr w:type="spellEnd"/>
    </w:p>
    <w:p w14:paraId="01468B62" w14:textId="77777777" w:rsidR="007E388D" w:rsidRPr="007E388D" w:rsidRDefault="007E388D" w:rsidP="007E388D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fr-FR"/>
          <w14:ligatures w14:val="none"/>
        </w:rPr>
      </w:pPr>
      <w:r w:rsidRPr="007E388D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>3. Les mutations religieuses et politiques</w:t>
      </w:r>
    </w:p>
    <w:p w14:paraId="0A5DE946" w14:textId="77777777" w:rsidR="007E388D" w:rsidRPr="007E388D" w:rsidRDefault="007E388D" w:rsidP="007E388D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fr-FR"/>
          <w14:ligatures w14:val="none"/>
        </w:rPr>
      </w:pPr>
    </w:p>
    <w:p w14:paraId="34C79395" w14:textId="2E2FBFE5" w:rsidR="007E388D" w:rsidRPr="007E388D" w:rsidRDefault="007E388D" w:rsidP="007E388D">
      <w:pPr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lang w:eastAsia="fr-FR"/>
          <w14:ligatures w14:val="none"/>
        </w:rPr>
      </w:pPr>
      <w:r w:rsidRPr="007E388D">
        <w:rPr>
          <w:rFonts w:ascii="Calibri" w:eastAsia="Times New Roman" w:hAnsi="Calibri" w:cs="Calibri"/>
          <w:b/>
          <w:bCs/>
          <w:color w:val="000000"/>
          <w:kern w:val="0"/>
          <w:lang w:eastAsia="fr-FR"/>
          <w14:ligatures w14:val="none"/>
        </w:rPr>
        <w:t>Conclusion</w:t>
      </w:r>
      <w:r>
        <w:rPr>
          <w:rFonts w:ascii="Calibri" w:eastAsia="Times New Roman" w:hAnsi="Calibri" w:cs="Calibri"/>
          <w:b/>
          <w:bCs/>
          <w:color w:val="000000"/>
          <w:kern w:val="0"/>
          <w:lang w:eastAsia="fr-FR"/>
          <w14:ligatures w14:val="none"/>
        </w:rPr>
        <w:t xml:space="preserve"> </w:t>
      </w:r>
      <w:r w:rsidRPr="007E388D">
        <w:rPr>
          <w:rFonts w:ascii="Calibri" w:eastAsia="Times New Roman" w:hAnsi="Calibri" w:cs="Calibri"/>
          <w:b/>
          <w:bCs/>
          <w:color w:val="000000"/>
          <w:kern w:val="0"/>
          <w:lang w:eastAsia="fr-FR"/>
          <w14:ligatures w14:val="none"/>
        </w:rPr>
        <w:t>: La </w:t>
      </w:r>
      <w:proofErr w:type="gramStart"/>
      <w:r w:rsidRPr="007E388D">
        <w:rPr>
          <w:rFonts w:ascii="Calibri" w:eastAsia="Times New Roman" w:hAnsi="Calibri" w:cs="Calibri"/>
          <w:b/>
          <w:bCs/>
          <w:i/>
          <w:iCs/>
          <w:color w:val="000000"/>
          <w:kern w:val="0"/>
          <w:lang w:eastAsia="fr-FR"/>
          <w14:ligatures w14:val="none"/>
        </w:rPr>
        <w:t>Haskala</w:t>
      </w:r>
      <w:r w:rsidRPr="007E388D">
        <w:rPr>
          <w:rFonts w:ascii="Calibri" w:eastAsia="Times New Roman" w:hAnsi="Calibri" w:cs="Calibri"/>
          <w:b/>
          <w:bCs/>
          <w:color w:val="000000"/>
          <w:kern w:val="0"/>
          <w:lang w:eastAsia="fr-FR"/>
          <w14:ligatures w14:val="none"/>
        </w:rPr>
        <w:t>:</w:t>
      </w:r>
      <w:proofErr w:type="gramEnd"/>
      <w:r w:rsidRPr="007E388D">
        <w:rPr>
          <w:rFonts w:ascii="Calibri" w:eastAsia="Times New Roman" w:hAnsi="Calibri" w:cs="Calibri"/>
          <w:b/>
          <w:bCs/>
          <w:color w:val="000000"/>
          <w:kern w:val="0"/>
          <w:lang w:eastAsia="fr-FR"/>
          <w14:ligatures w14:val="none"/>
        </w:rPr>
        <w:t xml:space="preserve"> un bilan</w:t>
      </w:r>
    </w:p>
    <w:p w14:paraId="677595A4" w14:textId="77777777" w:rsidR="007E388D" w:rsidRPr="007E388D" w:rsidRDefault="007E388D" w:rsidP="007E388D">
      <w:pPr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lang w:eastAsia="fr-FR"/>
          <w14:ligatures w14:val="none"/>
        </w:rPr>
      </w:pPr>
    </w:p>
    <w:p w14:paraId="24FA9E9B" w14:textId="78E18A35" w:rsidR="007E388D" w:rsidRPr="007E388D" w:rsidRDefault="007E388D" w:rsidP="007E388D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fr-FR"/>
          <w14:ligatures w14:val="none"/>
        </w:rPr>
      </w:pPr>
      <w:r w:rsidRPr="007E388D">
        <w:rPr>
          <w:rFonts w:ascii="Calibri" w:eastAsia="Times New Roman" w:hAnsi="Calibri" w:cs="Calibri"/>
          <w:b/>
          <w:bCs/>
          <w:color w:val="000000"/>
          <w:kern w:val="0"/>
          <w:lang w:eastAsia="fr-FR"/>
          <w14:ligatures w14:val="none"/>
        </w:rPr>
        <w:t>Bibliographie :</w:t>
      </w:r>
      <w:r w:rsidRPr="007E388D">
        <w:rPr>
          <w:rFonts w:ascii="Calibri" w:eastAsia="Times New Roman" w:hAnsi="Calibri" w:cs="Calibri"/>
          <w:color w:val="000000"/>
          <w:kern w:val="0"/>
          <w:sz w:val="22"/>
          <w:szCs w:val="22"/>
          <w:lang w:eastAsia="fr-FR"/>
          <w14:ligatures w14:val="none"/>
        </w:rPr>
        <w:t xml:space="preserve"> D. </w:t>
      </w:r>
      <w:proofErr w:type="spellStart"/>
      <w:r w:rsidRPr="007E388D">
        <w:rPr>
          <w:rFonts w:ascii="Calibri" w:eastAsia="Times New Roman" w:hAnsi="Calibri" w:cs="Calibri"/>
          <w:color w:val="000000"/>
          <w:kern w:val="0"/>
          <w:sz w:val="22"/>
          <w:szCs w:val="22"/>
          <w:lang w:eastAsia="fr-FR"/>
          <w14:ligatures w14:val="none"/>
        </w:rPr>
        <w:t>Bourel</w:t>
      </w:r>
      <w:proofErr w:type="spellEnd"/>
      <w:r w:rsidRPr="007E388D">
        <w:rPr>
          <w:rFonts w:ascii="Calibri" w:eastAsia="Times New Roman" w:hAnsi="Calibri" w:cs="Calibri"/>
          <w:color w:val="000000"/>
          <w:kern w:val="0"/>
          <w:sz w:val="22"/>
          <w:szCs w:val="22"/>
          <w:lang w:eastAsia="fr-FR"/>
          <w14:ligatures w14:val="none"/>
        </w:rPr>
        <w:t>, </w:t>
      </w:r>
      <w:r w:rsidRPr="007E388D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lang w:eastAsia="fr-FR"/>
          <w14:ligatures w14:val="none"/>
        </w:rPr>
        <w:t>Moses Mendelssohn. La naissance du judaïsme moderne</w:t>
      </w:r>
      <w:r w:rsidRPr="007E388D">
        <w:rPr>
          <w:rFonts w:ascii="Calibri" w:eastAsia="Times New Roman" w:hAnsi="Calibri" w:cs="Calibri"/>
          <w:color w:val="000000"/>
          <w:kern w:val="0"/>
          <w:sz w:val="22"/>
          <w:szCs w:val="22"/>
          <w:lang w:eastAsia="fr-FR"/>
          <w14:ligatures w14:val="none"/>
        </w:rPr>
        <w:t>, Paris, 2004 ; A. Elon, </w:t>
      </w:r>
      <w:r w:rsidRPr="007E388D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lang w:eastAsia="fr-FR"/>
          <w14:ligatures w14:val="none"/>
        </w:rPr>
        <w:t>Requiem allemand. Une histoire des Juifs allemands 1743-1933</w:t>
      </w:r>
      <w:r w:rsidRPr="007E388D">
        <w:rPr>
          <w:rFonts w:ascii="Calibri" w:eastAsia="Times New Roman" w:hAnsi="Calibri" w:cs="Calibri"/>
          <w:color w:val="000000"/>
          <w:kern w:val="0"/>
          <w:sz w:val="22"/>
          <w:szCs w:val="22"/>
          <w:lang w:eastAsia="fr-FR"/>
          <w14:ligatures w14:val="none"/>
        </w:rPr>
        <w:t xml:space="preserve">, Paris, 2010 (2002) ; S. </w:t>
      </w:r>
      <w:proofErr w:type="spellStart"/>
      <w:r w:rsidRPr="007E388D">
        <w:rPr>
          <w:rFonts w:ascii="Calibri" w:eastAsia="Times New Roman" w:hAnsi="Calibri" w:cs="Calibri"/>
          <w:color w:val="000000"/>
          <w:kern w:val="0"/>
          <w:sz w:val="22"/>
          <w:szCs w:val="22"/>
          <w:lang w:eastAsia="fr-FR"/>
          <w14:ligatures w14:val="none"/>
        </w:rPr>
        <w:t>Feiner</w:t>
      </w:r>
      <w:proofErr w:type="spellEnd"/>
      <w:r w:rsidRPr="007E388D">
        <w:rPr>
          <w:rFonts w:ascii="Calibri" w:eastAsia="Times New Roman" w:hAnsi="Calibri" w:cs="Calibri"/>
          <w:color w:val="000000"/>
          <w:kern w:val="0"/>
          <w:sz w:val="22"/>
          <w:szCs w:val="22"/>
          <w:lang w:eastAsia="fr-FR"/>
          <w14:ligatures w14:val="none"/>
        </w:rPr>
        <w:t>, </w:t>
      </w:r>
      <w:r w:rsidRPr="007E388D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lang w:eastAsia="fr-FR"/>
          <w14:ligatures w14:val="none"/>
        </w:rPr>
        <w:t xml:space="preserve">The </w:t>
      </w:r>
      <w:proofErr w:type="spellStart"/>
      <w:r w:rsidRPr="007E388D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lang w:eastAsia="fr-FR"/>
          <w14:ligatures w14:val="none"/>
        </w:rPr>
        <w:t>Jewish</w:t>
      </w:r>
      <w:proofErr w:type="spellEnd"/>
      <w:r w:rsidRPr="007E388D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lang w:eastAsia="fr-FR"/>
          <w14:ligatures w14:val="none"/>
        </w:rPr>
        <w:t xml:space="preserve"> </w:t>
      </w:r>
      <w:proofErr w:type="spellStart"/>
      <w:r w:rsidRPr="007E388D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lang w:eastAsia="fr-FR"/>
          <w14:ligatures w14:val="none"/>
        </w:rPr>
        <w:t>Enlightenment</w:t>
      </w:r>
      <w:proofErr w:type="spellEnd"/>
      <w:r w:rsidRPr="007E388D">
        <w:rPr>
          <w:rFonts w:ascii="Calibri" w:eastAsia="Times New Roman" w:hAnsi="Calibri" w:cs="Calibri"/>
          <w:color w:val="000000"/>
          <w:kern w:val="0"/>
          <w:sz w:val="22"/>
          <w:szCs w:val="22"/>
          <w:lang w:eastAsia="fr-FR"/>
          <w14:ligatures w14:val="none"/>
        </w:rPr>
        <w:t xml:space="preserve">, Philadelphie, 2002 ; G. Hansel, "1789, mention bien", </w:t>
      </w:r>
      <w:proofErr w:type="spellStart"/>
      <w:r w:rsidRPr="007E388D">
        <w:rPr>
          <w:rFonts w:ascii="Calibri" w:eastAsia="Times New Roman" w:hAnsi="Calibri" w:cs="Calibri"/>
          <w:color w:val="000000"/>
          <w:kern w:val="0"/>
          <w:sz w:val="22"/>
          <w:szCs w:val="22"/>
          <w:lang w:eastAsia="fr-FR"/>
          <w14:ligatures w14:val="none"/>
        </w:rPr>
        <w:t>in</w:t>
      </w:r>
      <w:r w:rsidRPr="007E388D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lang w:eastAsia="fr-FR"/>
          <w14:ligatures w14:val="none"/>
        </w:rPr>
        <w:t>Explorations</w:t>
      </w:r>
      <w:proofErr w:type="spellEnd"/>
      <w:r w:rsidRPr="007E388D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lang w:eastAsia="fr-FR"/>
          <w14:ligatures w14:val="none"/>
        </w:rPr>
        <w:t xml:space="preserve"> talmudiques</w:t>
      </w:r>
      <w:r w:rsidRPr="007E388D">
        <w:rPr>
          <w:rFonts w:ascii="Calibri" w:eastAsia="Times New Roman" w:hAnsi="Calibri" w:cs="Calibri"/>
          <w:color w:val="000000"/>
          <w:kern w:val="0"/>
          <w:sz w:val="22"/>
          <w:szCs w:val="22"/>
          <w:lang w:eastAsia="fr-FR"/>
          <w14:ligatures w14:val="none"/>
        </w:rPr>
        <w:t xml:space="preserve">, Paris, 1998, p.  </w:t>
      </w:r>
      <w:r w:rsidRPr="007E388D">
        <w:rPr>
          <w:rFonts w:ascii="Calibri" w:eastAsia="Times New Roman" w:hAnsi="Calibri" w:cs="Calibri"/>
          <w:color w:val="000000"/>
          <w:kern w:val="0"/>
          <w:sz w:val="22"/>
          <w:szCs w:val="22"/>
          <w:lang w:val="en-GB" w:eastAsia="fr-FR"/>
          <w14:ligatures w14:val="none"/>
        </w:rPr>
        <w:t>131-</w:t>
      </w:r>
      <w:proofErr w:type="gramStart"/>
      <w:r w:rsidRPr="007E388D">
        <w:rPr>
          <w:rFonts w:ascii="Calibri" w:eastAsia="Times New Roman" w:hAnsi="Calibri" w:cs="Calibri"/>
          <w:color w:val="000000"/>
          <w:kern w:val="0"/>
          <w:sz w:val="22"/>
          <w:szCs w:val="22"/>
          <w:lang w:val="en-GB" w:eastAsia="fr-FR"/>
          <w14:ligatures w14:val="none"/>
        </w:rPr>
        <w:t>141 ;</w:t>
      </w:r>
      <w:proofErr w:type="gramEnd"/>
      <w:r w:rsidRPr="007E388D">
        <w:rPr>
          <w:rFonts w:ascii="Calibri" w:eastAsia="Times New Roman" w:hAnsi="Calibri" w:cs="Calibri"/>
          <w:color w:val="000000"/>
          <w:kern w:val="0"/>
          <w:sz w:val="22"/>
          <w:szCs w:val="22"/>
          <w:lang w:val="en-GB" w:eastAsia="fr-FR"/>
          <w14:ligatures w14:val="none"/>
        </w:rPr>
        <w:t xml:space="preserve"> J. M. Harris,</w:t>
      </w:r>
      <w:r w:rsidRPr="007E388D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lang w:val="en-GB" w:eastAsia="fr-FR"/>
          <w14:ligatures w14:val="none"/>
        </w:rPr>
        <w:t> Nachman Krochmal. Guiding the Perplexed of the Modern Age</w:t>
      </w:r>
      <w:r w:rsidRPr="007E388D">
        <w:rPr>
          <w:rFonts w:ascii="Calibri" w:eastAsia="Times New Roman" w:hAnsi="Calibri" w:cs="Calibri"/>
          <w:color w:val="000000"/>
          <w:kern w:val="0"/>
          <w:sz w:val="22"/>
          <w:szCs w:val="22"/>
          <w:lang w:val="en-GB" w:eastAsia="fr-FR"/>
          <w14:ligatures w14:val="none"/>
        </w:rPr>
        <w:t xml:space="preserve">, New York, </w:t>
      </w:r>
      <w:proofErr w:type="gramStart"/>
      <w:r w:rsidRPr="007E388D">
        <w:rPr>
          <w:rFonts w:ascii="Calibri" w:eastAsia="Times New Roman" w:hAnsi="Calibri" w:cs="Calibri"/>
          <w:color w:val="000000"/>
          <w:kern w:val="0"/>
          <w:sz w:val="22"/>
          <w:szCs w:val="22"/>
          <w:lang w:val="en-GB" w:eastAsia="fr-FR"/>
          <w14:ligatures w14:val="none"/>
        </w:rPr>
        <w:t>1991 ;</w:t>
      </w:r>
      <w:proofErr w:type="gramEnd"/>
      <w:r w:rsidRPr="007E388D">
        <w:rPr>
          <w:rFonts w:ascii="Calibri" w:eastAsia="Times New Roman" w:hAnsi="Calibri" w:cs="Calibri"/>
          <w:color w:val="000000"/>
          <w:kern w:val="0"/>
          <w:sz w:val="22"/>
          <w:szCs w:val="22"/>
          <w:lang w:val="en-GB" w:eastAsia="fr-FR"/>
          <w14:ligatures w14:val="none"/>
        </w:rPr>
        <w:t xml:space="preserve"> J. I. Israel, </w:t>
      </w:r>
      <w:r w:rsidRPr="007E388D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lang w:val="en-GB" w:eastAsia="fr-FR"/>
          <w14:ligatures w14:val="none"/>
        </w:rPr>
        <w:t xml:space="preserve">Les </w:t>
      </w:r>
      <w:proofErr w:type="spellStart"/>
      <w:r w:rsidRPr="007E388D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lang w:val="en-GB" w:eastAsia="fr-FR"/>
          <w14:ligatures w14:val="none"/>
        </w:rPr>
        <w:t>Lumières</w:t>
      </w:r>
      <w:proofErr w:type="spellEnd"/>
      <w:r w:rsidRPr="007E388D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lang w:val="en-GB" w:eastAsia="fr-FR"/>
          <w14:ligatures w14:val="none"/>
        </w:rPr>
        <w:t xml:space="preserve"> </w:t>
      </w:r>
      <w:proofErr w:type="spellStart"/>
      <w:r w:rsidRPr="007E388D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lang w:val="en-GB" w:eastAsia="fr-FR"/>
          <w14:ligatures w14:val="none"/>
        </w:rPr>
        <w:t>radicales</w:t>
      </w:r>
      <w:proofErr w:type="spellEnd"/>
      <w:r w:rsidRPr="007E388D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lang w:val="en-GB" w:eastAsia="fr-FR"/>
          <w14:ligatures w14:val="none"/>
        </w:rPr>
        <w:t xml:space="preserve">. </w:t>
      </w:r>
      <w:r w:rsidRPr="007E388D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lang w:eastAsia="fr-FR"/>
          <w14:ligatures w14:val="none"/>
        </w:rPr>
        <w:t>La philosophie, Spinoza et la naissance de la modernité (1650-1750)</w:t>
      </w:r>
      <w:r w:rsidRPr="007E388D">
        <w:rPr>
          <w:rFonts w:ascii="Calibri" w:eastAsia="Times New Roman" w:hAnsi="Calibri" w:cs="Calibri"/>
          <w:color w:val="000000"/>
          <w:kern w:val="0"/>
          <w:sz w:val="22"/>
          <w:szCs w:val="22"/>
          <w:lang w:eastAsia="fr-FR"/>
          <w14:ligatures w14:val="none"/>
        </w:rPr>
        <w:t>, Marseille, 2017 (2005) ; C. Pelluchon, </w:t>
      </w:r>
      <w:r w:rsidRPr="007E388D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lang w:eastAsia="fr-FR"/>
          <w14:ligatures w14:val="none"/>
        </w:rPr>
        <w:t xml:space="preserve">Leo Strauss, une autre raison, d'autres </w:t>
      </w:r>
      <w:proofErr w:type="gramStart"/>
      <w:r w:rsidRPr="007E388D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lang w:eastAsia="fr-FR"/>
          <w14:ligatures w14:val="none"/>
        </w:rPr>
        <w:t>Lumières:</w:t>
      </w:r>
      <w:proofErr w:type="gramEnd"/>
      <w:r w:rsidRPr="007E388D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lang w:eastAsia="fr-FR"/>
          <w14:ligatures w14:val="none"/>
        </w:rPr>
        <w:t xml:space="preserve"> essai sur la crise de la rationalité contemporaine</w:t>
      </w:r>
      <w:r w:rsidRPr="007E388D">
        <w:rPr>
          <w:rFonts w:ascii="Calibri" w:eastAsia="Times New Roman" w:hAnsi="Calibri" w:cs="Calibri"/>
          <w:color w:val="000000"/>
          <w:kern w:val="0"/>
          <w:sz w:val="22"/>
          <w:szCs w:val="22"/>
          <w:lang w:eastAsia="fr-FR"/>
          <w14:ligatures w14:val="none"/>
        </w:rPr>
        <w:t xml:space="preserve">, Paris, 2005 ; H. C. </w:t>
      </w:r>
      <w:proofErr w:type="spellStart"/>
      <w:r w:rsidRPr="007E388D">
        <w:rPr>
          <w:rFonts w:ascii="Calibri" w:eastAsia="Times New Roman" w:hAnsi="Calibri" w:cs="Calibri"/>
          <w:color w:val="000000"/>
          <w:kern w:val="0"/>
          <w:sz w:val="22"/>
          <w:szCs w:val="22"/>
          <w:lang w:eastAsia="fr-FR"/>
          <w14:ligatures w14:val="none"/>
        </w:rPr>
        <w:t>Soussan</w:t>
      </w:r>
      <w:proofErr w:type="spellEnd"/>
      <w:r w:rsidRPr="007E388D">
        <w:rPr>
          <w:rFonts w:ascii="Calibri" w:eastAsia="Times New Roman" w:hAnsi="Calibri" w:cs="Calibri"/>
          <w:color w:val="000000"/>
          <w:kern w:val="0"/>
          <w:sz w:val="22"/>
          <w:szCs w:val="22"/>
          <w:lang w:eastAsia="fr-FR"/>
          <w14:ligatures w14:val="none"/>
        </w:rPr>
        <w:t>, </w:t>
      </w:r>
      <w:r w:rsidRPr="007E388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fr-FR"/>
          <w14:ligatures w14:val="none"/>
        </w:rPr>
        <w:t xml:space="preserve">The Gesellschaft </w:t>
      </w:r>
      <w:proofErr w:type="spellStart"/>
      <w:r w:rsidRPr="007E388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fr-FR"/>
          <w14:ligatures w14:val="none"/>
        </w:rPr>
        <w:t>zur</w:t>
      </w:r>
      <w:proofErr w:type="spellEnd"/>
      <w:r w:rsidRPr="007E388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fr-FR"/>
          <w14:ligatures w14:val="none"/>
        </w:rPr>
        <w:t xml:space="preserve"> </w:t>
      </w:r>
      <w:proofErr w:type="spellStart"/>
      <w:r w:rsidRPr="007E388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fr-FR"/>
          <w14:ligatures w14:val="none"/>
        </w:rPr>
        <w:t>Förderung</w:t>
      </w:r>
      <w:proofErr w:type="spellEnd"/>
      <w:r w:rsidRPr="007E388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fr-FR"/>
          <w14:ligatures w14:val="none"/>
        </w:rPr>
        <w:t xml:space="preserve"> der </w:t>
      </w:r>
      <w:proofErr w:type="spellStart"/>
      <w:r w:rsidRPr="007E388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fr-FR"/>
          <w14:ligatures w14:val="none"/>
        </w:rPr>
        <w:t>Wissenschaft</w:t>
      </w:r>
      <w:proofErr w:type="spellEnd"/>
      <w:r w:rsidRPr="007E388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fr-FR"/>
          <w14:ligatures w14:val="none"/>
        </w:rPr>
        <w:t xml:space="preserve"> des</w:t>
      </w:r>
      <w:r w:rsidRPr="007E388D">
        <w:rPr>
          <w:rFonts w:ascii="Times New Roman" w:eastAsia="Times New Roman" w:hAnsi="Times New Roman" w:cs="Times New Roman"/>
          <w:i/>
          <w:iCs/>
          <w:color w:val="000000"/>
          <w:spacing w:val="1"/>
          <w:kern w:val="0"/>
          <w:sz w:val="22"/>
          <w:szCs w:val="22"/>
          <w:lang w:eastAsia="fr-FR"/>
          <w14:ligatures w14:val="none"/>
        </w:rPr>
        <w:t> </w:t>
      </w:r>
      <w:proofErr w:type="spellStart"/>
      <w:r w:rsidRPr="007E388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fr-FR"/>
          <w14:ligatures w14:val="none"/>
        </w:rPr>
        <w:t>Judentums</w:t>
      </w:r>
      <w:proofErr w:type="spellEnd"/>
      <w:r w:rsidRPr="007E388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fr-FR"/>
          <w14:ligatures w14:val="none"/>
        </w:rPr>
        <w:t xml:space="preserve"> in </w:t>
      </w:r>
      <w:proofErr w:type="spellStart"/>
      <w:r w:rsidRPr="007E388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fr-FR"/>
          <w14:ligatures w14:val="none"/>
        </w:rPr>
        <w:t>Its</w:t>
      </w:r>
      <w:proofErr w:type="spellEnd"/>
      <w:r w:rsidRPr="007E388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fr-FR"/>
          <w14:ligatures w14:val="none"/>
        </w:rPr>
        <w:t xml:space="preserve"> </w:t>
      </w:r>
      <w:proofErr w:type="spellStart"/>
      <w:r w:rsidRPr="007E388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fr-FR"/>
          <w14:ligatures w14:val="none"/>
        </w:rPr>
        <w:t>Historical</w:t>
      </w:r>
      <w:proofErr w:type="spellEnd"/>
      <w:r w:rsidRPr="007E388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fr-FR"/>
          <w14:ligatures w14:val="none"/>
        </w:rPr>
        <w:t xml:space="preserve"> </w:t>
      </w:r>
      <w:proofErr w:type="spellStart"/>
      <w:r w:rsidRPr="007E388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fr-FR"/>
          <w14:ligatures w14:val="none"/>
        </w:rPr>
        <w:t>Context</w:t>
      </w:r>
      <w:proofErr w:type="spellEnd"/>
      <w:r w:rsidRPr="007E388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fr-FR"/>
          <w14:ligatures w14:val="none"/>
        </w:rPr>
        <w:t>, Tübingen, 2013 ; </w:t>
      </w:r>
      <w:r w:rsidRPr="007E388D">
        <w:rPr>
          <w:rFonts w:ascii="Calibri" w:eastAsia="Times New Roman" w:hAnsi="Calibri" w:cs="Calibri"/>
          <w:color w:val="000000"/>
          <w:kern w:val="0"/>
          <w:sz w:val="22"/>
          <w:szCs w:val="22"/>
          <w:lang w:eastAsia="fr-FR"/>
          <w14:ligatures w14:val="none"/>
        </w:rPr>
        <w:t xml:space="preserve">M. </w:t>
      </w:r>
      <w:proofErr w:type="spellStart"/>
      <w:r w:rsidRPr="007E388D">
        <w:rPr>
          <w:rFonts w:ascii="Calibri" w:eastAsia="Times New Roman" w:hAnsi="Calibri" w:cs="Calibri"/>
          <w:color w:val="000000"/>
          <w:kern w:val="0"/>
          <w:sz w:val="22"/>
          <w:szCs w:val="22"/>
          <w:lang w:eastAsia="fr-FR"/>
          <w14:ligatures w14:val="none"/>
        </w:rPr>
        <w:t>Stanislawski</w:t>
      </w:r>
      <w:proofErr w:type="spellEnd"/>
      <w:r w:rsidRPr="007E388D">
        <w:rPr>
          <w:rFonts w:ascii="Calibri" w:eastAsia="Times New Roman" w:hAnsi="Calibri" w:cs="Calibri"/>
          <w:color w:val="000000"/>
          <w:kern w:val="0"/>
          <w:sz w:val="22"/>
          <w:szCs w:val="22"/>
          <w:lang w:eastAsia="fr-FR"/>
          <w14:ligatures w14:val="none"/>
        </w:rPr>
        <w:t>, </w:t>
      </w:r>
      <w:r w:rsidRPr="007E388D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lang w:eastAsia="fr-FR"/>
          <w14:ligatures w14:val="none"/>
        </w:rPr>
        <w:t xml:space="preserve">"For </w:t>
      </w:r>
      <w:proofErr w:type="spellStart"/>
      <w:r w:rsidRPr="007E388D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lang w:eastAsia="fr-FR"/>
          <w14:ligatures w14:val="none"/>
        </w:rPr>
        <w:t>Whom</w:t>
      </w:r>
      <w:proofErr w:type="spellEnd"/>
      <w:r w:rsidRPr="007E388D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lang w:eastAsia="fr-FR"/>
          <w14:ligatures w14:val="none"/>
        </w:rPr>
        <w:t xml:space="preserve"> Do I </w:t>
      </w:r>
      <w:proofErr w:type="spellStart"/>
      <w:r w:rsidRPr="007E388D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lang w:eastAsia="fr-FR"/>
          <w14:ligatures w14:val="none"/>
        </w:rPr>
        <w:t>Toil</w:t>
      </w:r>
      <w:proofErr w:type="spellEnd"/>
      <w:r w:rsidRPr="007E388D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lang w:eastAsia="fr-FR"/>
          <w14:ligatures w14:val="none"/>
        </w:rPr>
        <w:t xml:space="preserve">?". </w:t>
      </w:r>
      <w:r w:rsidRPr="007E388D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lang w:val="en-GB" w:eastAsia="fr-FR"/>
          <w14:ligatures w14:val="none"/>
        </w:rPr>
        <w:t>Judah Leib Gordon and the Crisis of Russian Jewry</w:t>
      </w:r>
      <w:r w:rsidRPr="007E388D">
        <w:rPr>
          <w:rFonts w:ascii="Calibri" w:eastAsia="Times New Roman" w:hAnsi="Calibri" w:cs="Calibri"/>
          <w:color w:val="000000"/>
          <w:kern w:val="0"/>
          <w:sz w:val="22"/>
          <w:szCs w:val="22"/>
          <w:lang w:val="en-GB" w:eastAsia="fr-FR"/>
          <w14:ligatures w14:val="none"/>
        </w:rPr>
        <w:t xml:space="preserve">, New York, </w:t>
      </w:r>
      <w:proofErr w:type="gramStart"/>
      <w:r w:rsidRPr="007E388D">
        <w:rPr>
          <w:rFonts w:ascii="Calibri" w:eastAsia="Times New Roman" w:hAnsi="Calibri" w:cs="Calibri"/>
          <w:color w:val="000000"/>
          <w:kern w:val="0"/>
          <w:sz w:val="22"/>
          <w:szCs w:val="22"/>
          <w:lang w:val="en-GB" w:eastAsia="fr-FR"/>
          <w14:ligatures w14:val="none"/>
        </w:rPr>
        <w:t>1988 ;</w:t>
      </w:r>
      <w:proofErr w:type="gramEnd"/>
      <w:r w:rsidRPr="007E388D">
        <w:rPr>
          <w:rFonts w:ascii="Calibri" w:eastAsia="Times New Roman" w:hAnsi="Calibri" w:cs="Calibri"/>
          <w:color w:val="000000"/>
          <w:kern w:val="0"/>
          <w:sz w:val="22"/>
          <w:szCs w:val="22"/>
          <w:lang w:val="en-GB" w:eastAsia="fr-FR"/>
          <w14:ligatures w14:val="none"/>
        </w:rPr>
        <w:t xml:space="preserve"> J. Strauss, </w:t>
      </w:r>
      <w:r w:rsidRPr="007E388D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lang w:val="en-GB" w:eastAsia="fr-FR"/>
          <w14:ligatures w14:val="none"/>
        </w:rPr>
        <w:t xml:space="preserve">Yehudah Leib Gordon, </w:t>
      </w:r>
      <w:proofErr w:type="spellStart"/>
      <w:r w:rsidRPr="007E388D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lang w:val="en-GB" w:eastAsia="fr-FR"/>
          <w14:ligatures w14:val="none"/>
        </w:rPr>
        <w:t>Poète</w:t>
      </w:r>
      <w:proofErr w:type="spellEnd"/>
      <w:r w:rsidRPr="007E388D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lang w:val="en-GB" w:eastAsia="fr-FR"/>
          <w14:ligatures w14:val="none"/>
        </w:rPr>
        <w:t xml:space="preserve"> </w:t>
      </w:r>
      <w:proofErr w:type="spellStart"/>
      <w:r w:rsidRPr="007E388D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lang w:val="en-GB" w:eastAsia="fr-FR"/>
          <w14:ligatures w14:val="none"/>
        </w:rPr>
        <w:t>hébreu</w:t>
      </w:r>
      <w:proofErr w:type="spellEnd"/>
      <w:r w:rsidRPr="007E388D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lang w:val="en-GB" w:eastAsia="fr-FR"/>
          <w14:ligatures w14:val="none"/>
        </w:rPr>
        <w:t>, 1830-1892 </w:t>
      </w:r>
      <w:r w:rsidRPr="007E388D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shd w:val="clear" w:color="auto" w:fill="FFFFFF"/>
          <w:lang w:val="en-GB" w:eastAsia="fr-FR"/>
          <w14:ligatures w14:val="none"/>
        </w:rPr>
        <w:t xml:space="preserve">: son oeuvre de </w:t>
      </w:r>
      <w:proofErr w:type="spellStart"/>
      <w:r w:rsidRPr="007E388D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shd w:val="clear" w:color="auto" w:fill="FFFFFF"/>
          <w:lang w:val="en-GB" w:eastAsia="fr-FR"/>
          <w14:ligatures w14:val="none"/>
        </w:rPr>
        <w:t>fabuliste</w:t>
      </w:r>
      <w:proofErr w:type="spellEnd"/>
      <w:r w:rsidRPr="007E388D">
        <w:rPr>
          <w:rFonts w:ascii="Calibri" w:eastAsia="Times New Roman" w:hAnsi="Calibri" w:cs="Calibri"/>
          <w:color w:val="000000"/>
          <w:kern w:val="0"/>
          <w:sz w:val="22"/>
          <w:szCs w:val="22"/>
          <w:shd w:val="clear" w:color="auto" w:fill="FFFFFF"/>
          <w:lang w:val="en-GB" w:eastAsia="fr-FR"/>
          <w14:ligatures w14:val="none"/>
        </w:rPr>
        <w:t>,</w:t>
      </w:r>
      <w:r w:rsidRPr="007E388D">
        <w:rPr>
          <w:rFonts w:ascii="Calibri" w:eastAsia="Times New Roman" w:hAnsi="Calibri" w:cs="Calibri"/>
          <w:color w:val="000000"/>
          <w:kern w:val="0"/>
          <w:sz w:val="22"/>
          <w:szCs w:val="22"/>
          <w:lang w:val="en-GB" w:eastAsia="fr-FR"/>
          <w14:ligatures w14:val="none"/>
        </w:rPr>
        <w:t> Paris, 1980 ; </w:t>
      </w:r>
      <w:r w:rsidRPr="007E388D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lang w:val="en-GB" w:eastAsia="fr-FR"/>
          <w14:ligatures w14:val="none"/>
        </w:rPr>
        <w:t>id.</w:t>
      </w:r>
      <w:r w:rsidRPr="007E388D">
        <w:rPr>
          <w:rFonts w:ascii="Calibri" w:eastAsia="Times New Roman" w:hAnsi="Calibri" w:cs="Calibri"/>
          <w:color w:val="000000"/>
          <w:kern w:val="0"/>
          <w:sz w:val="22"/>
          <w:szCs w:val="22"/>
          <w:lang w:val="en-GB" w:eastAsia="fr-FR"/>
          <w14:ligatures w14:val="none"/>
        </w:rPr>
        <w:t>, </w:t>
      </w:r>
      <w:r w:rsidRPr="007E388D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lang w:val="en-GB" w:eastAsia="fr-FR"/>
          <w14:ligatures w14:val="none"/>
        </w:rPr>
        <w:t xml:space="preserve">La Haskala. </w:t>
      </w:r>
      <w:r w:rsidRPr="007E388D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lang w:eastAsia="fr-FR"/>
          <w14:ligatures w14:val="none"/>
        </w:rPr>
        <w:t>Les débuts de la littérature hébraïque moderne</w:t>
      </w:r>
      <w:r w:rsidRPr="007E388D">
        <w:rPr>
          <w:rFonts w:ascii="Calibri" w:eastAsia="Times New Roman" w:hAnsi="Calibri" w:cs="Calibri"/>
          <w:color w:val="000000"/>
          <w:kern w:val="0"/>
          <w:sz w:val="22"/>
          <w:szCs w:val="22"/>
          <w:lang w:eastAsia="fr-FR"/>
          <w14:ligatures w14:val="none"/>
        </w:rPr>
        <w:t>, Nancy, 1991 ; E. Todd, </w:t>
      </w:r>
      <w:r w:rsidRPr="007E388D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lang w:eastAsia="fr-FR"/>
          <w14:ligatures w14:val="none"/>
        </w:rPr>
        <w:t>Le destin des immigrés. Assimilation et ségrégation dans les démocraties occidentales</w:t>
      </w:r>
      <w:r w:rsidRPr="007E388D">
        <w:rPr>
          <w:rFonts w:ascii="Calibri" w:eastAsia="Times New Roman" w:hAnsi="Calibri" w:cs="Calibri"/>
          <w:color w:val="000000"/>
          <w:kern w:val="0"/>
          <w:sz w:val="22"/>
          <w:szCs w:val="22"/>
          <w:lang w:eastAsia="fr-FR"/>
          <w14:ligatures w14:val="none"/>
        </w:rPr>
        <w:t>, Paris, 1994, p. 229-279.  </w:t>
      </w:r>
    </w:p>
    <w:p w14:paraId="7CEA477C" w14:textId="0E0ECDB3" w:rsidR="007E388D" w:rsidRPr="007E388D" w:rsidRDefault="007E388D" w:rsidP="007E388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7E388D" w:rsidRPr="007E388D" w14:paraId="771DE1ED" w14:textId="77777777" w:rsidTr="007E38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C558C2" w14:textId="77777777" w:rsidR="007E388D" w:rsidRPr="007E388D" w:rsidRDefault="007E388D" w:rsidP="007E38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AD5EE" w14:textId="77777777" w:rsidR="007E388D" w:rsidRPr="007E388D" w:rsidRDefault="007E388D" w:rsidP="007E38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</w:tr>
    </w:tbl>
    <w:p w14:paraId="50713277" w14:textId="79090D2E" w:rsidR="007E388D" w:rsidRPr="007E388D" w:rsidRDefault="007E388D" w:rsidP="007E388D">
      <w:pPr>
        <w:spacing w:after="10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7E388D">
        <w:rPr>
          <w:rFonts w:ascii="Times New Roman" w:eastAsia="Times New Roman" w:hAnsi="Times New Roman" w:cs="Times New Roman"/>
          <w:noProof/>
          <w:kern w:val="0"/>
          <w:lang w:eastAsia="fr-FR"/>
          <w14:ligatures w14:val="none"/>
        </w:rPr>
        <w:lastRenderedPageBreak/>
        <w:drawing>
          <wp:inline distT="0" distB="0" distL="0" distR="0" wp14:anchorId="1C7286CC" wp14:editId="0AB5D5B3">
            <wp:extent cx="5760720" cy="8146415"/>
            <wp:effectExtent l="0" t="0" r="0" b="6985"/>
            <wp:docPr id="43699057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700B6" w14:textId="77777777" w:rsidR="007E388D" w:rsidRDefault="007E388D"/>
    <w:sectPr w:rsidR="007E388D" w:rsidSect="00017FC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88D"/>
    <w:rsid w:val="00017FC2"/>
    <w:rsid w:val="00197F5B"/>
    <w:rsid w:val="003E0053"/>
    <w:rsid w:val="007E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3938E"/>
  <w15:chartTrackingRefBased/>
  <w15:docId w15:val="{E3BC5C6F-5BFA-4334-AE67-824140307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E38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E38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E38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E38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E38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E38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E38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E38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E38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E38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E38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E38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E388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E388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E388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E388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E388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E388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E38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E38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E38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E38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E38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E388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E388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E388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E38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E388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E38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09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13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42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2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2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6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7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38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84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62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24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1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02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02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1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0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0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8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6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9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85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7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9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3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40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0483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13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64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498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811032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151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541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649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499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Morfin</dc:creator>
  <cp:keywords/>
  <dc:description/>
  <cp:lastModifiedBy>René HORTET</cp:lastModifiedBy>
  <cp:revision>3</cp:revision>
  <dcterms:created xsi:type="dcterms:W3CDTF">2024-03-11T09:18:00Z</dcterms:created>
  <dcterms:modified xsi:type="dcterms:W3CDTF">2024-03-11T09:18:00Z</dcterms:modified>
</cp:coreProperties>
</file>