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DA1F0F" w14:textId="77777777" w:rsid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fr-FR"/>
          <w14:ligatures w14:val="none"/>
        </w:rPr>
        <w:t xml:space="preserve">14 mars 2024 : </w:t>
      </w:r>
    </w:p>
    <w:p w14:paraId="70A9F083" w14:textId="68E2761D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sz w:val="28"/>
          <w:szCs w:val="28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fr-FR"/>
          <w14:ligatures w14:val="none"/>
        </w:rPr>
        <w:t>"Les Lumières juives (</w:t>
      </w:r>
      <w:r w:rsidRPr="007E388D">
        <w:rPr>
          <w:rFonts w:ascii="Calibri" w:eastAsia="Times New Roman" w:hAnsi="Calibri" w:cs="Calibri"/>
          <w:b/>
          <w:bCs/>
          <w:i/>
          <w:iCs/>
          <w:color w:val="000000"/>
          <w:kern w:val="0"/>
          <w:sz w:val="28"/>
          <w:szCs w:val="28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b/>
          <w:bCs/>
          <w:color w:val="000000"/>
          <w:kern w:val="0"/>
          <w:sz w:val="28"/>
          <w:szCs w:val="28"/>
          <w:lang w:eastAsia="fr-FR"/>
          <w14:ligatures w14:val="none"/>
        </w:rPr>
        <w:t>) ou comment les juifs sont entrés dans la modernité"</w:t>
      </w:r>
    </w:p>
    <w:p w14:paraId="427CB877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45BD9634" w14:textId="55F2604B" w:rsidR="007E388D" w:rsidRPr="007E388D" w:rsidRDefault="007E388D" w:rsidP="007E388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Résumé :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 xml:space="preserve"> Le terme hébreu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, qui signifie "instruction, culture, enseignement" et qui est apparenté à 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sekhel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 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("intelligence, raison"), désigne le mouvement juif des Lumières. Même si ce mouvement marque l'entrée des juifs dans la modernité, il reste difficile à définir, comme le sont d'ailleurs les Lumières elles-mêmes. Il suscite encore aujourd'hui de nombreuses questions</w:t>
      </w:r>
      <w:r w:rsidR="003E0053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 xml:space="preserve"> 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: quelles sont ses origines et la nature de ses liens avec les Lumières non-juives ? A-t-on affaire à une révolution au sein du monde juif traditionnel ? Quelle est la période exacte pendant laquelle la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 a été active ? Quels ont été ses effets à court et à plus long terme ? Nous tenterons dans cette conférence d'apporter quelques éclairages sur ces questions générales, sans négliger le rôle majeur de certaines figures de 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maskilim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 </w:t>
      </w:r>
      <w:r w:rsidRPr="007E388D">
        <w:rPr>
          <w:rFonts w:ascii="Calibri" w:eastAsia="Times New Roman" w:hAnsi="Calibri" w:cs="Calibri"/>
          <w:color w:val="000000"/>
          <w:kern w:val="0"/>
          <w:shd w:val="clear" w:color="auto" w:fill="FFFFFF"/>
          <w:lang w:eastAsia="fr-FR"/>
          <w14:ligatures w14:val="none"/>
        </w:rPr>
        <w:t>(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adeptes de la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 xml:space="preserve">), comme Mendelssohn (1729-1786) en Allemagne,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Krochmal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 </w:t>
      </w:r>
      <w:r w:rsidRPr="007E388D">
        <w:rPr>
          <w:rFonts w:ascii="Calibri" w:eastAsia="Times New Roman" w:hAnsi="Calibri" w:cs="Calibri"/>
          <w:color w:val="000000"/>
          <w:kern w:val="0"/>
          <w:shd w:val="clear" w:color="auto" w:fill="FFFFFF"/>
          <w:lang w:eastAsia="fr-FR"/>
          <w14:ligatures w14:val="none"/>
        </w:rPr>
        <w:t>(1785-1840)</w:t>
      </w: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 en Galicie et Gordon (1831-1892) en Russie. </w:t>
      </w:r>
    </w:p>
    <w:p w14:paraId="15383517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285971EC" w14:textId="66AB5AD1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Plan : </w:t>
      </w:r>
    </w:p>
    <w:p w14:paraId="0A7437EA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1DF003C6" w14:textId="50173165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Introduction : Qu'est-ce que la </w:t>
      </w:r>
      <w:r w:rsidRPr="007E388D">
        <w:rPr>
          <w:rFonts w:ascii="Calibri" w:eastAsia="Times New Roman" w:hAnsi="Calibri" w:cs="Calibri"/>
          <w:b/>
          <w:bCs/>
          <w:i/>
          <w:iCs/>
          <w:color w:val="000000"/>
          <w:kern w:val="0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 ? </w:t>
      </w:r>
    </w:p>
    <w:p w14:paraId="1BCD7835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10C339E9" w14:textId="7F80012C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I. Les Lumières </w:t>
      </w:r>
    </w:p>
    <w:p w14:paraId="2C915080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1. Les Lumières médiévales</w:t>
      </w:r>
    </w:p>
    <w:p w14:paraId="5DCA0275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2. Les Lumières modernes</w:t>
      </w:r>
    </w:p>
    <w:p w14:paraId="29CD390B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3. Les Lumières juives</w:t>
      </w:r>
    </w:p>
    <w:p w14:paraId="41121C1C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510786FA" w14:textId="6CB9E0CE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II. Trois grandes figures de la </w:t>
      </w:r>
      <w:r w:rsidRPr="007E388D">
        <w:rPr>
          <w:rFonts w:ascii="Calibri" w:eastAsia="Times New Roman" w:hAnsi="Calibri" w:cs="Calibri"/>
          <w:b/>
          <w:bCs/>
          <w:i/>
          <w:iCs/>
          <w:color w:val="000000"/>
          <w:kern w:val="0"/>
          <w:lang w:eastAsia="fr-FR"/>
          <w14:ligatures w14:val="none"/>
        </w:rPr>
        <w:t>Haskala</w:t>
      </w:r>
    </w:p>
    <w:p w14:paraId="28D210F2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val="en-GB"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val="en-GB" w:eastAsia="fr-FR"/>
          <w14:ligatures w14:val="none"/>
        </w:rPr>
        <w:t>1. Moses Mendelssohn</w:t>
      </w:r>
    </w:p>
    <w:p w14:paraId="1DE0CB83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val="en-GB"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val="en-GB" w:eastAsia="fr-FR"/>
          <w14:ligatures w14:val="none"/>
        </w:rPr>
        <w:t>2. Nachman Krochmal</w:t>
      </w:r>
    </w:p>
    <w:p w14:paraId="53EC31E3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val="en-GB"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val="en-GB" w:eastAsia="fr-FR"/>
          <w14:ligatures w14:val="none"/>
        </w:rPr>
        <w:t>3. Yehudah Leib Gordon</w:t>
      </w:r>
    </w:p>
    <w:p w14:paraId="2742AE61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val="en-GB" w:eastAsia="fr-FR"/>
          <w14:ligatures w14:val="none"/>
        </w:rPr>
      </w:pPr>
    </w:p>
    <w:p w14:paraId="601E98A2" w14:textId="31F2275D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III. Les suites de la </w:t>
      </w:r>
      <w:r w:rsidRPr="007E388D">
        <w:rPr>
          <w:rFonts w:ascii="Calibri" w:eastAsia="Times New Roman" w:hAnsi="Calibri" w:cs="Calibri"/>
          <w:b/>
          <w:bCs/>
          <w:i/>
          <w:iCs/>
          <w:color w:val="000000"/>
          <w:kern w:val="0"/>
          <w:lang w:eastAsia="fr-FR"/>
          <w14:ligatures w14:val="none"/>
        </w:rPr>
        <w:t>Haskala</w:t>
      </w:r>
    </w:p>
    <w:p w14:paraId="10D25C71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1. L'émancipation des juifs</w:t>
      </w:r>
    </w:p>
    <w:p w14:paraId="71310981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2. La 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Wissenschaft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 xml:space="preserve"> des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lang w:eastAsia="fr-FR"/>
          <w14:ligatures w14:val="none"/>
        </w:rPr>
        <w:t>Judentums</w:t>
      </w:r>
      <w:proofErr w:type="spellEnd"/>
    </w:p>
    <w:p w14:paraId="01468B62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color w:val="000000"/>
          <w:kern w:val="0"/>
          <w:lang w:eastAsia="fr-FR"/>
          <w14:ligatures w14:val="none"/>
        </w:rPr>
        <w:t>3. Les mutations religieuses et politiques</w:t>
      </w:r>
    </w:p>
    <w:p w14:paraId="0A5DE946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</w:p>
    <w:p w14:paraId="34C79395" w14:textId="2E2FBFE5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Conclusion</w:t>
      </w:r>
      <w:r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 xml:space="preserve"> </w:t>
      </w: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: La </w:t>
      </w:r>
      <w:proofErr w:type="gramStart"/>
      <w:r w:rsidRPr="007E388D">
        <w:rPr>
          <w:rFonts w:ascii="Calibri" w:eastAsia="Times New Roman" w:hAnsi="Calibri" w:cs="Calibri"/>
          <w:b/>
          <w:bCs/>
          <w:i/>
          <w:iCs/>
          <w:color w:val="000000"/>
          <w:kern w:val="0"/>
          <w:lang w:eastAsia="fr-FR"/>
          <w14:ligatures w14:val="none"/>
        </w:rPr>
        <w:t>Haskala</w:t>
      </w: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:</w:t>
      </w:r>
      <w:proofErr w:type="gramEnd"/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 xml:space="preserve"> un bilan</w:t>
      </w:r>
    </w:p>
    <w:p w14:paraId="677595A4" w14:textId="77777777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b/>
          <w:bCs/>
          <w:kern w:val="0"/>
          <w:lang w:eastAsia="fr-FR"/>
          <w14:ligatures w14:val="none"/>
        </w:rPr>
      </w:pPr>
    </w:p>
    <w:p w14:paraId="24FA9E9B" w14:textId="78E18A35" w:rsidR="007E388D" w:rsidRPr="007E388D" w:rsidRDefault="007E388D" w:rsidP="007E388D">
      <w:pPr>
        <w:spacing w:after="0" w:line="240" w:lineRule="auto"/>
        <w:jc w:val="both"/>
        <w:rPr>
          <w:rFonts w:ascii="Calibri" w:eastAsia="Times New Roman" w:hAnsi="Calibri" w:cs="Calibri"/>
          <w:kern w:val="0"/>
          <w:lang w:eastAsia="fr-FR"/>
          <w14:ligatures w14:val="none"/>
        </w:rPr>
      </w:pPr>
      <w:r w:rsidRPr="007E388D">
        <w:rPr>
          <w:rFonts w:ascii="Calibri" w:eastAsia="Times New Roman" w:hAnsi="Calibri" w:cs="Calibri"/>
          <w:b/>
          <w:bCs/>
          <w:color w:val="000000"/>
          <w:kern w:val="0"/>
          <w:lang w:eastAsia="fr-FR"/>
          <w14:ligatures w14:val="none"/>
        </w:rPr>
        <w:t>Bibliographie :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 D.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Bourel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Moses Mendelssohn. La naissance du judaïsme moderne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 Paris, 2004 ; A. Elon,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Requiem allemand. Une histoire des Juifs allemands 1743-1933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, Paris, 2010 (2002) ; S.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Feiner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The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Jewish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Enlightenment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, Philadelphie, 2002 ; G. Hansel, "1789, mention bien",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in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Explorations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talmudiques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, Paris, 1998, p.  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131-</w:t>
      </w:r>
      <w:proofErr w:type="gram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141 ;</w:t>
      </w:r>
      <w:proofErr w:type="gram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 xml:space="preserve"> J. M. Harris,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 Nachman Krochmal. Guiding the Perplexed of the Modern Age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 xml:space="preserve">, New York, </w:t>
      </w:r>
      <w:proofErr w:type="gram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1991 ;</w:t>
      </w:r>
      <w:proofErr w:type="gram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 xml:space="preserve"> J. I. Israel,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Les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Lumières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radicales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. 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La philosophie, Spinoza et la naissance de la modernité (1650-1750)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 Marseille, 2017 (2005) ; C. Pelluchon,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Leo Strauss, une autre raison, d'autres </w:t>
      </w:r>
      <w:proofErr w:type="gram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Lumières:</w:t>
      </w:r>
      <w:proofErr w:type="gram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essai sur la crise de la rationalité contemporaine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, Paris, 2005 ; H. C.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Soussan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 </w:t>
      </w:r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The Gesellschaft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zur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Förderung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der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Wissenschaft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des</w:t>
      </w:r>
      <w:r w:rsidRPr="007E388D">
        <w:rPr>
          <w:rFonts w:ascii="Times New Roman" w:eastAsia="Times New Roman" w:hAnsi="Times New Roman" w:cs="Times New Roman"/>
          <w:i/>
          <w:iCs/>
          <w:color w:val="000000"/>
          <w:spacing w:val="1"/>
          <w:kern w:val="0"/>
          <w:sz w:val="22"/>
          <w:szCs w:val="22"/>
          <w:lang w:eastAsia="fr-FR"/>
          <w14:ligatures w14:val="none"/>
        </w:rPr>
        <w:t> 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Judentums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in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Its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Historical</w:t>
      </w:r>
      <w:proofErr w:type="spellEnd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</w:t>
      </w:r>
      <w:proofErr w:type="spellStart"/>
      <w:r w:rsidRPr="007E388D">
        <w:rPr>
          <w:rFonts w:ascii="Times New Roman" w:eastAsia="Times New Roman" w:hAnsi="Times New Roman" w:cs="Times New Roman"/>
          <w:i/>
          <w:iCs/>
          <w:color w:val="000000"/>
          <w:kern w:val="0"/>
          <w:sz w:val="22"/>
          <w:szCs w:val="22"/>
          <w:lang w:eastAsia="fr-FR"/>
          <w14:ligatures w14:val="none"/>
        </w:rPr>
        <w:t>Context</w:t>
      </w:r>
      <w:proofErr w:type="spellEnd"/>
      <w:r w:rsidRPr="007E388D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eastAsia="fr-FR"/>
          <w14:ligatures w14:val="none"/>
        </w:rPr>
        <w:t>, Tübingen, 2013 ; 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 xml:space="preserve">M. </w:t>
      </w:r>
      <w:proofErr w:type="spell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Stanislawski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"For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Whom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 Do I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Toil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 xml:space="preserve">?". 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Judah Leib Gordon and the Crisis of Russian Jewry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 xml:space="preserve">, New York, </w:t>
      </w:r>
      <w:proofErr w:type="gramStart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1988 ;</w:t>
      </w:r>
      <w:proofErr w:type="gram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 xml:space="preserve"> J. Strauss,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Yehudah Leib Gordon,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Poète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hébreu</w:t>
      </w:r>
      <w:proofErr w:type="spellEnd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, 1830-1892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shd w:val="clear" w:color="auto" w:fill="FFFFFF"/>
          <w:lang w:val="en-GB" w:eastAsia="fr-FR"/>
          <w14:ligatures w14:val="none"/>
        </w:rPr>
        <w:t xml:space="preserve">: son oeuvre de </w:t>
      </w:r>
      <w:proofErr w:type="spellStart"/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shd w:val="clear" w:color="auto" w:fill="FFFFFF"/>
          <w:lang w:val="en-GB" w:eastAsia="fr-FR"/>
          <w14:ligatures w14:val="none"/>
        </w:rPr>
        <w:t>fabuliste</w:t>
      </w:r>
      <w:proofErr w:type="spellEnd"/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shd w:val="clear" w:color="auto" w:fill="FFFFFF"/>
          <w:lang w:val="en-GB" w:eastAsia="fr-FR"/>
          <w14:ligatures w14:val="none"/>
        </w:rPr>
        <w:t>,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 Paris, 1980 ;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>id.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val="en-GB" w:eastAsia="fr-FR"/>
          <w14:ligatures w14:val="none"/>
        </w:rPr>
        <w:t>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val="en-GB" w:eastAsia="fr-FR"/>
          <w14:ligatures w14:val="none"/>
        </w:rPr>
        <w:t xml:space="preserve">La Haskala. 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Les débuts de la littérature hébraïque moderne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 Nancy, 1991 ; E. Todd, </w:t>
      </w:r>
      <w:r w:rsidRPr="007E388D">
        <w:rPr>
          <w:rFonts w:ascii="Calibri" w:eastAsia="Times New Roman" w:hAnsi="Calibri" w:cs="Calibri"/>
          <w:i/>
          <w:iCs/>
          <w:color w:val="000000"/>
          <w:kern w:val="0"/>
          <w:sz w:val="22"/>
          <w:szCs w:val="22"/>
          <w:lang w:eastAsia="fr-FR"/>
          <w14:ligatures w14:val="none"/>
        </w:rPr>
        <w:t>Le destin des immigrés. Assimilation et ségrégation dans les démocraties occidentales</w:t>
      </w:r>
      <w:r w:rsidRPr="007E388D">
        <w:rPr>
          <w:rFonts w:ascii="Calibri" w:eastAsia="Times New Roman" w:hAnsi="Calibri" w:cs="Calibri"/>
          <w:color w:val="000000"/>
          <w:kern w:val="0"/>
          <w:sz w:val="22"/>
          <w:szCs w:val="22"/>
          <w:lang w:eastAsia="fr-FR"/>
          <w14:ligatures w14:val="none"/>
        </w:rPr>
        <w:t>, Paris, 1994, p. 229-279.  </w:t>
      </w:r>
    </w:p>
    <w:p w14:paraId="7CEA477C" w14:textId="0E0ECDB3" w:rsidR="007E388D" w:rsidRPr="007E388D" w:rsidRDefault="007E388D" w:rsidP="007E388D">
      <w:pPr>
        <w:spacing w:after="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7E388D" w:rsidRPr="007E388D" w14:paraId="771DE1ED" w14:textId="77777777" w:rsidTr="007E388D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2C558C2" w14:textId="77777777" w:rsidR="007E388D" w:rsidRPr="007E388D" w:rsidRDefault="007E388D" w:rsidP="007E38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EAD5EE" w14:textId="77777777" w:rsidR="007E388D" w:rsidRPr="007E388D" w:rsidRDefault="007E388D" w:rsidP="007E388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fr-FR"/>
                <w14:ligatures w14:val="none"/>
              </w:rPr>
            </w:pPr>
          </w:p>
        </w:tc>
      </w:tr>
    </w:tbl>
    <w:p w14:paraId="50713277" w14:textId="79090D2E" w:rsidR="007E388D" w:rsidRPr="007E388D" w:rsidRDefault="007E388D" w:rsidP="007E388D">
      <w:pPr>
        <w:spacing w:after="100" w:line="240" w:lineRule="auto"/>
        <w:rPr>
          <w:rFonts w:ascii="Times New Roman" w:eastAsia="Times New Roman" w:hAnsi="Times New Roman" w:cs="Times New Roman"/>
          <w:kern w:val="0"/>
          <w:lang w:eastAsia="fr-FR"/>
          <w14:ligatures w14:val="none"/>
        </w:rPr>
      </w:pPr>
      <w:r w:rsidRPr="007E388D">
        <w:rPr>
          <w:rFonts w:ascii="Times New Roman" w:eastAsia="Times New Roman" w:hAnsi="Times New Roman" w:cs="Times New Roman"/>
          <w:noProof/>
          <w:kern w:val="0"/>
          <w:lang w:eastAsia="fr-FR"/>
          <w14:ligatures w14:val="none"/>
        </w:rPr>
        <w:lastRenderedPageBreak/>
        <w:drawing>
          <wp:inline distT="0" distB="0" distL="0" distR="0" wp14:anchorId="1C7286CC" wp14:editId="0AB5D5B3">
            <wp:extent cx="5760720" cy="8146415"/>
            <wp:effectExtent l="0" t="0" r="0" b="6985"/>
            <wp:docPr id="43699057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700B6" w14:textId="77777777" w:rsidR="007E388D" w:rsidRDefault="007E388D"/>
    <w:sectPr w:rsidR="007E388D" w:rsidSect="00017FC2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388D"/>
    <w:rsid w:val="00017FC2"/>
    <w:rsid w:val="00197F5B"/>
    <w:rsid w:val="003E0053"/>
    <w:rsid w:val="007E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3938E"/>
  <w15:chartTrackingRefBased/>
  <w15:docId w15:val="{E3BC5C6F-5BFA-4334-AE67-82414030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7E38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7E38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7E388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E38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E388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7E38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7E38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7E38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7E38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7E388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7E388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7E388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7E388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7E388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7E388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7E388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7E388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7E388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7E38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7E38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E38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7E38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7E38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7E388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7E388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7E388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7E388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388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7E388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096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13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2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2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76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4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38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884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7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62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4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71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02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9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36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02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1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307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0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6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4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1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07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835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0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20483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13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4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98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11032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151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541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64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499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2284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Annie Morfin</dc:creator>
  <cp:keywords/>
  <dc:description/>
  <cp:lastModifiedBy>René HORTET</cp:lastModifiedBy>
  <cp:revision>3</cp:revision>
  <dcterms:created xsi:type="dcterms:W3CDTF">2024-03-11T09:18:00Z</dcterms:created>
  <dcterms:modified xsi:type="dcterms:W3CDTF">2024-03-11T09:18:00Z</dcterms:modified>
</cp:coreProperties>
</file>